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C3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right="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附件6</w:t>
      </w:r>
    </w:p>
    <w:p w14:paraId="59D7F4F5"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jc w:val="both"/>
        <w:outlineLvl w:val="9"/>
        <w:rPr>
          <w:rFonts w:hint="default" w:ascii="Times New Roman" w:hAnsi="Times New Roman" w:eastAsia="方正小标宋_GBK" w:cs="Times New Roman"/>
          <w:b w:val="0"/>
          <w:bCs w:val="0"/>
          <w:spacing w:val="9"/>
          <w:sz w:val="44"/>
          <w:szCs w:val="44"/>
          <w:lang w:val="zh-CN" w:eastAsia="en-US"/>
        </w:rPr>
      </w:pPr>
    </w:p>
    <w:p w14:paraId="21AC7B87"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jc w:val="both"/>
        <w:outlineLvl w:val="9"/>
        <w:rPr>
          <w:rFonts w:hint="default" w:ascii="Times New Roman" w:hAnsi="Times New Roman" w:eastAsia="方正小标宋_GBK" w:cs="Times New Roman"/>
          <w:b w:val="0"/>
          <w:bCs w:val="0"/>
          <w:spacing w:val="9"/>
          <w:sz w:val="44"/>
          <w:szCs w:val="44"/>
          <w:lang w:val="zh-CN"/>
        </w:rPr>
      </w:pPr>
      <w:bookmarkStart w:id="0" w:name="_GoBack"/>
      <w:bookmarkEnd w:id="0"/>
      <w:r>
        <w:rPr>
          <w:rFonts w:hint="default" w:ascii="Times New Roman" w:hAnsi="Times New Roman" w:eastAsia="方正小标宋_GBK" w:cs="Times New Roman"/>
          <w:b w:val="0"/>
          <w:bCs w:val="0"/>
          <w:spacing w:val="9"/>
          <w:sz w:val="44"/>
          <w:szCs w:val="44"/>
          <w:lang w:val="zh-CN" w:eastAsia="en-US"/>
        </w:rPr>
        <w:t>第一届2026年三亚</w:t>
      </w:r>
      <w:r>
        <w:rPr>
          <w:rFonts w:hint="default" w:ascii="Times New Roman" w:hAnsi="Times New Roman" w:eastAsia="方正小标宋_GBK" w:cs="Times New Roman"/>
          <w:b w:val="0"/>
          <w:bCs w:val="0"/>
          <w:spacing w:val="9"/>
          <w:sz w:val="44"/>
          <w:szCs w:val="44"/>
          <w:lang w:val="zh-CN"/>
        </w:rPr>
        <w:t>市中小学“青鹿杯”科技节</w:t>
      </w:r>
    </w:p>
    <w:p w14:paraId="6112E1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right="0" w:firstLine="880" w:firstLineChars="200"/>
        <w:jc w:val="both"/>
        <w:textAlignment w:val="auto"/>
        <w:outlineLvl w:val="9"/>
        <w:rPr>
          <w:rFonts w:hint="default" w:ascii="Times New Roman" w:hAnsi="Times New Roman" w:eastAsia="方正小标宋_GBK" w:cs="Times New Roman"/>
          <w:b w:val="0"/>
          <w:bCs w:val="0"/>
          <w:spacing w:val="9"/>
          <w:sz w:val="44"/>
          <w:szCs w:val="44"/>
          <w:lang w:val="zh-CN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napToGrid/>
          <w:spacing w:val="0"/>
          <w:kern w:val="2"/>
          <w:sz w:val="44"/>
          <w:szCs w:val="44"/>
          <w:lang w:val="en-US" w:eastAsia="zh-CN"/>
        </w:rPr>
        <w:t>三亚市中小学生星际编程挑战赛</w:t>
      </w:r>
    </w:p>
    <w:p w14:paraId="678BBEF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firstLine="711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b/>
          <w:bCs/>
          <w:spacing w:val="17"/>
          <w:sz w:val="32"/>
          <w:szCs w:val="32"/>
          <w:lang w:val="en-US" w:eastAsia="zh-CN"/>
        </w:rPr>
      </w:pPr>
    </w:p>
    <w:p w14:paraId="0F3F9E9E"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jc w:val="center"/>
        <w:outlineLvl w:val="9"/>
        <w:rPr>
          <w:rFonts w:hint="eastAsia" w:ascii="黑体" w:hAnsi="黑体" w:eastAsia="黑体" w:cs="黑体"/>
          <w:b w:val="0"/>
          <w:bCs w:val="0"/>
          <w:snapToGrid/>
          <w:color w:val="000000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17"/>
          <w:sz w:val="32"/>
          <w:szCs w:val="32"/>
          <w:lang w:val="en-US" w:eastAsia="zh-CN"/>
        </w:rPr>
        <w:t>赛项四</w:t>
      </w:r>
      <w:r>
        <w:rPr>
          <w:rFonts w:hint="eastAsia" w:ascii="黑体" w:hAnsi="黑体" w:eastAsia="黑体" w:cs="黑体"/>
          <w:b w:val="0"/>
          <w:bCs w:val="0"/>
          <w:spacing w:val="17"/>
          <w:sz w:val="32"/>
          <w:szCs w:val="32"/>
        </w:rPr>
        <w:t>:</w:t>
      </w:r>
      <w:r>
        <w:rPr>
          <w:rFonts w:hint="eastAsia" w:ascii="黑体" w:hAnsi="黑体" w:eastAsia="黑体" w:cs="黑体"/>
          <w:b w:val="0"/>
          <w:bCs w:val="0"/>
          <w:snapToGrid/>
          <w:color w:val="000000"/>
          <w:spacing w:val="0"/>
          <w:kern w:val="2"/>
          <w:sz w:val="32"/>
          <w:szCs w:val="32"/>
          <w:lang w:val="en-US" w:eastAsia="zh-CN" w:bidi="ar-SA"/>
        </w:rPr>
        <w:t>绿水青山无碳小车（智慧旅途）</w:t>
      </w:r>
    </w:p>
    <w:p w14:paraId="0CF13AE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center"/>
        <w:textAlignment w:val="baseline"/>
        <w:outlineLvl w:val="9"/>
        <w:rPr>
          <w:rFonts w:hint="default" w:ascii="黑体" w:hAnsi="黑体" w:eastAsia="黑体" w:cs="黑体"/>
          <w:b w:val="0"/>
          <w:bCs w:val="0"/>
          <w:snapToGrid/>
          <w:color w:val="000000"/>
          <w:spacing w:val="0"/>
          <w:kern w:val="2"/>
          <w:sz w:val="32"/>
          <w:szCs w:val="32"/>
          <w:lang w:val="en-US" w:eastAsia="zh-CN" w:bidi="ar-SA"/>
        </w:rPr>
      </w:pPr>
    </w:p>
    <w:p w14:paraId="781990D5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left="0" w:firstLine="640" w:firstLineChars="200"/>
        <w:jc w:val="both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、赛题概述</w:t>
      </w:r>
    </w:p>
    <w:p w14:paraId="16D2536C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left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随着国家“绿水青山就是金山银山”理念的深入人心，广袤的国家公园、自然保护区与风景名胜区正需要更智慧、更环保的方式进行巡护与管理。传统巡护方式面临效率低、风险高、数据采集不全面等挑战。本赛事旨在引导青少年运用前沿的人工智能与无人驾驶技术，设计并编程一辆能够模拟在复杂自然环境中执行巡护任务的AI智能车，为解决真实世界中的生态保护问题提供智慧方案。</w:t>
      </w:r>
    </w:p>
    <w:p w14:paraId="70360C8A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left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赛事不仅是一场技术竞技，更是一次数字化的祖国山河巡礼。我们期望通过寓教于赛的方式，有效培养青少年的家国情怀、计算思维、人工智能应用能力与科技创新精神，让他们在解决实际问题的过程中，深刻理解科技如何服务于绿色、美好的未来生活。</w:t>
      </w:r>
    </w:p>
    <w:p w14:paraId="6CB16A1E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left="0" w:firstLine="640" w:firstLineChars="200"/>
        <w:jc w:val="both"/>
        <w:textAlignment w:val="bottom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、参赛范围</w:t>
      </w:r>
    </w:p>
    <w:p w14:paraId="67AFE3CB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left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（一）参赛组别：小学初级组（2-3年级）、小学高级组（4-6年级）、初中组、普高组。</w:t>
      </w:r>
    </w:p>
    <w:p w14:paraId="0D7ADD65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（二）参赛形式及人数：以个人为单位参赛，1名指导教师。</w:t>
      </w:r>
    </w:p>
    <w:p w14:paraId="3E44A882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left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（三）每名参赛选手只能参加1个赛项、1支队伍。</w:t>
      </w:r>
    </w:p>
    <w:p w14:paraId="148A734D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left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（四）组别确定：以地方教育行政主管部门（教委、教育厅、教育局）认定的选手所属学段为准。</w:t>
      </w:r>
    </w:p>
    <w:p w14:paraId="538A66EB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left="0" w:firstLine="640" w:firstLineChars="200"/>
        <w:jc w:val="both"/>
        <w:textAlignment w:val="bottom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、大赛流程</w:t>
      </w:r>
    </w:p>
    <w:p w14:paraId="5A6524AE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left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（一）报名：参赛选手统一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在指定官网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在线报名，真实、准确、完整填写相关参赛信息。</w:t>
      </w:r>
    </w:p>
    <w:p w14:paraId="2E4325D0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left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b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比赛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采用线上方式进行，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参赛队伍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在规定时间内进入官方指定竞赛平台，围绕“绿水青山”主题，根据任务描述，完成虚拟仿真任务挑战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086134A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left="0" w:firstLine="640" w:firstLineChars="200"/>
        <w:jc w:val="both"/>
        <w:outlineLvl w:val="9"/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比赛内容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虚拟仿真</w:t>
      </w:r>
    </w:p>
    <w:p w14:paraId="0999C452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left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1.竞赛内容</w:t>
      </w:r>
    </w:p>
    <w:p w14:paraId="16E72004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left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赛项以“智慧绿途”为核心场景，创设虚拟仿真任务，参赛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队伍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将通过编程控制AI智能车，模拟完成一次从游客集散中心出发，穿越旅游生态区和文化遗产廊道，最终抵达科研监测站的综合性智慧巡护任务。任务全程考察车辆的自主导航、环境感知、人机交互与精准控制能力。</w:t>
      </w:r>
    </w:p>
    <w:p w14:paraId="14E9D576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left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任务描述</w:t>
      </w:r>
    </w:p>
    <w:p w14:paraId="6683D5F4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left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（1）游客集散中心</w:t>
      </w:r>
    </w:p>
    <w:p w14:paraId="2068B1CF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left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任务情景：智能车停放在游客集散中心的出发区。这里是整个智慧旅途的起点，智能车需要依靠自身的环境感知能力，在无需人工干预的情况下，自主驶入正确的巡护道路，并通过初期的复杂路口。</w:t>
      </w:r>
    </w:p>
    <w:p w14:paraId="494B917F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left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任务描述：智能车从游客集散中心的出发区自动出发，在驶离集散中心的过程中，将连续经过多个路口，智能车根据道路结构，做出正确的路径决策，顺利驶向通往旅游生态区的干道。</w:t>
      </w:r>
    </w:p>
    <w:p w14:paraId="6B3DF90D"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spacing w:line="578" w:lineRule="exact"/>
        <w:ind w:left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旅游生态区</w:t>
      </w:r>
    </w:p>
    <w:p w14:paraId="52ECF297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left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任务情景：旅游生态区分布着需要监测和记录的特定生态目标（如珍稀植物、动物巢穴或特殊地质构造等）。智能车在此区域需要化身为一名“生态侦察兵”，在确保不对环境造成任何干扰的前提下，完成对特定目标的拍照记录工作。</w:t>
      </w:r>
    </w:p>
    <w:p w14:paraId="5FCE969D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left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任务描述：智能车在森林道路段，行驶至特定生态目标的拍摄区域，控制车身短暂减速或停车并触发“拍照”动作，记录此时摄像头画面并捕捉特定生态目标。</w:t>
      </w:r>
    </w:p>
    <w:p w14:paraId="5F80970B"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spacing w:line="578" w:lineRule="exact"/>
        <w:ind w:left="0" w:leftChars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文化遗产廊道</w:t>
      </w:r>
    </w:p>
    <w:p w14:paraId="5C927EFE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left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任务情景：智能车驶入具有历史文化背景的廊道，路况复杂，路径选择多样。智能车需要通过摄像头识别地面指令图标，并做出相应的行驶决策，同时通过灯光信号或文字显示告知系统其识别结果和行驶意图。</w:t>
      </w:r>
    </w:p>
    <w:p w14:paraId="0C2660B9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left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任务描述：在廊道的多个关键节点，地面上会绘有“左转”、“右转”、“直行”的指令图标，智能车必须准确识别这些图标，识别后智能车需执行对应的转向或直行动作，同时智能车必须通过RGB灯发出相应的灯光信号至少3秒，到达指定文化遗产廊道后，需显示文字或进行文字播报（如前方到达北京故宫）。</w:t>
      </w:r>
    </w:p>
    <w:p w14:paraId="3EB603D2"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spacing w:line="578" w:lineRule="exact"/>
        <w:ind w:left="0" w:leftChars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科研监测站</w:t>
      </w:r>
    </w:p>
    <w:p w14:paraId="4197A2C4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left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任务情景：经过长途巡护，智能车最终抵达本次任务的终点——科研监测站。智能车需要识别终点区域，并平稳、精准地将车停入指定的停车位，完成全部巡护任务。</w:t>
      </w:r>
    </w:p>
    <w:p w14:paraId="34852CBA">
      <w:pPr>
        <w:keepNext w:val="0"/>
        <w:keepLines w:val="0"/>
        <w:pageBreakBefore w:val="0"/>
        <w:wordWrap/>
        <w:overflowPunct/>
        <w:topLinePunct w:val="0"/>
        <w:bidi w:val="0"/>
        <w:spacing w:line="578" w:lineRule="exact"/>
        <w:ind w:left="0" w:firstLine="640" w:firstLineChars="200"/>
        <w:jc w:val="both"/>
        <w:outlineLvl w:val="9"/>
        <w:rPr>
          <w:rFonts w:hint="default" w:ascii="仿宋" w:hAnsi="仿宋" w:eastAsia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任务描述：智能车识别到“科研监测站”的标识，自动驶入指定的停车框内，要求智能车完全停稳在框内，且车身姿态端正（与车位边线平行）。</w:t>
      </w:r>
    </w:p>
    <w:tbl>
      <w:tblPr>
        <w:tblStyle w:val="10"/>
        <w:tblW w:w="506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1851"/>
        <w:gridCol w:w="818"/>
        <w:gridCol w:w="787"/>
        <w:gridCol w:w="837"/>
        <w:gridCol w:w="896"/>
        <w:gridCol w:w="797"/>
        <w:gridCol w:w="857"/>
        <w:gridCol w:w="787"/>
        <w:gridCol w:w="818"/>
      </w:tblGrid>
      <w:tr w14:paraId="1BE0A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vMerge w:val="restart"/>
            <w:shd w:val="clear" w:color="auto" w:fill="F5F6F7"/>
            <w:vAlign w:val="center"/>
          </w:tcPr>
          <w:p w14:paraId="6F0CC178">
            <w:pPr>
              <w:jc w:val="center"/>
              <w:rPr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t>项目</w:t>
            </w:r>
          </w:p>
        </w:tc>
        <w:tc>
          <w:tcPr>
            <w:tcW w:w="1709" w:type="dxa"/>
            <w:vMerge w:val="restart"/>
            <w:shd w:val="clear" w:color="auto" w:fill="F5F6F7"/>
            <w:vAlign w:val="center"/>
          </w:tcPr>
          <w:p w14:paraId="4DDE4DF5">
            <w:pPr>
              <w:jc w:val="center"/>
              <w:rPr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t>评分标准</w:t>
            </w:r>
          </w:p>
        </w:tc>
        <w:tc>
          <w:tcPr>
            <w:tcW w:w="1482" w:type="dxa"/>
            <w:gridSpan w:val="2"/>
            <w:shd w:val="clear" w:color="auto" w:fill="F5F6F7"/>
            <w:vAlign w:val="center"/>
          </w:tcPr>
          <w:p w14:paraId="439FE78F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小学低级组</w:t>
            </w:r>
          </w:p>
        </w:tc>
        <w:tc>
          <w:tcPr>
            <w:tcW w:w="1600" w:type="dxa"/>
            <w:gridSpan w:val="2"/>
            <w:shd w:val="clear" w:color="auto" w:fill="F5F6F7"/>
            <w:vAlign w:val="center"/>
          </w:tcPr>
          <w:p w14:paraId="0696503A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小学高级组</w:t>
            </w:r>
          </w:p>
        </w:tc>
        <w:tc>
          <w:tcPr>
            <w:tcW w:w="1527" w:type="dxa"/>
            <w:gridSpan w:val="2"/>
            <w:shd w:val="clear" w:color="auto" w:fill="F5F6F7"/>
            <w:vAlign w:val="center"/>
          </w:tcPr>
          <w:p w14:paraId="01A6CBA4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初中组</w:t>
            </w:r>
          </w:p>
        </w:tc>
        <w:tc>
          <w:tcPr>
            <w:tcW w:w="1482" w:type="dxa"/>
            <w:gridSpan w:val="2"/>
            <w:shd w:val="clear" w:color="auto" w:fill="F5F6F7"/>
            <w:vAlign w:val="center"/>
          </w:tcPr>
          <w:p w14:paraId="44CD1304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普高组</w:t>
            </w:r>
          </w:p>
        </w:tc>
      </w:tr>
      <w:tr w14:paraId="6C1DD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vMerge w:val="continue"/>
            <w:shd w:val="clear" w:color="auto" w:fill="F5F6F7"/>
            <w:vAlign w:val="center"/>
          </w:tcPr>
          <w:p w14:paraId="6B2641DD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09" w:type="dxa"/>
            <w:vMerge w:val="continue"/>
            <w:shd w:val="clear" w:color="auto" w:fill="F5F6F7"/>
            <w:vAlign w:val="center"/>
          </w:tcPr>
          <w:p w14:paraId="34577781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5" w:type="dxa"/>
            <w:shd w:val="clear" w:color="auto" w:fill="F5F6F7"/>
            <w:vAlign w:val="center"/>
          </w:tcPr>
          <w:p w14:paraId="2DAED3EC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复赛</w:t>
            </w:r>
          </w:p>
        </w:tc>
        <w:tc>
          <w:tcPr>
            <w:tcW w:w="727" w:type="dxa"/>
            <w:shd w:val="clear" w:color="auto" w:fill="F5F6F7"/>
            <w:vAlign w:val="center"/>
          </w:tcPr>
          <w:p w14:paraId="41363471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决赛</w:t>
            </w:r>
          </w:p>
        </w:tc>
        <w:tc>
          <w:tcPr>
            <w:tcW w:w="773" w:type="dxa"/>
            <w:shd w:val="clear" w:color="auto" w:fill="F5F6F7"/>
            <w:vAlign w:val="center"/>
          </w:tcPr>
          <w:p w14:paraId="5F43F13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复赛</w:t>
            </w:r>
          </w:p>
        </w:tc>
        <w:tc>
          <w:tcPr>
            <w:tcW w:w="827" w:type="dxa"/>
            <w:shd w:val="clear" w:color="auto" w:fill="F5F6F7"/>
            <w:vAlign w:val="center"/>
          </w:tcPr>
          <w:p w14:paraId="2DDEA21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决赛</w:t>
            </w:r>
          </w:p>
        </w:tc>
        <w:tc>
          <w:tcPr>
            <w:tcW w:w="736" w:type="dxa"/>
            <w:shd w:val="clear" w:color="auto" w:fill="F5F6F7"/>
            <w:vAlign w:val="center"/>
          </w:tcPr>
          <w:p w14:paraId="474823C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复赛</w:t>
            </w:r>
          </w:p>
        </w:tc>
        <w:tc>
          <w:tcPr>
            <w:tcW w:w="791" w:type="dxa"/>
            <w:shd w:val="clear" w:color="auto" w:fill="F5F6F7"/>
            <w:vAlign w:val="center"/>
          </w:tcPr>
          <w:p w14:paraId="229B5A5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决赛</w:t>
            </w:r>
          </w:p>
        </w:tc>
        <w:tc>
          <w:tcPr>
            <w:tcW w:w="727" w:type="dxa"/>
            <w:shd w:val="clear" w:color="auto" w:fill="F5F6F7"/>
            <w:vAlign w:val="center"/>
          </w:tcPr>
          <w:p w14:paraId="5649825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复赛</w:t>
            </w:r>
          </w:p>
        </w:tc>
        <w:tc>
          <w:tcPr>
            <w:tcW w:w="755" w:type="dxa"/>
            <w:shd w:val="clear" w:color="auto" w:fill="F5F6F7"/>
            <w:vAlign w:val="center"/>
          </w:tcPr>
          <w:p w14:paraId="4960BEC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决赛</w:t>
            </w:r>
          </w:p>
        </w:tc>
      </w:tr>
      <w:tr w14:paraId="5DCC8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838" w:type="dxa"/>
            <w:vMerge w:val="restart"/>
            <w:shd w:val="clear" w:color="auto" w:fill="F5F6F7"/>
            <w:vAlign w:val="center"/>
          </w:tcPr>
          <w:p w14:paraId="3C3190F3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游客集散中心</w:t>
            </w:r>
          </w:p>
        </w:tc>
        <w:tc>
          <w:tcPr>
            <w:tcW w:w="1709" w:type="dxa"/>
            <w:vAlign w:val="center"/>
          </w:tcPr>
          <w:p w14:paraId="53960642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智能车出发</w:t>
            </w:r>
          </w:p>
        </w:tc>
        <w:tc>
          <w:tcPr>
            <w:tcW w:w="755" w:type="dxa"/>
            <w:vAlign w:val="center"/>
          </w:tcPr>
          <w:p w14:paraId="5201BC4A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27" w:type="dxa"/>
            <w:vAlign w:val="center"/>
          </w:tcPr>
          <w:p w14:paraId="2D48B144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73" w:type="dxa"/>
            <w:vAlign w:val="center"/>
          </w:tcPr>
          <w:p w14:paraId="73C8B200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827" w:type="dxa"/>
            <w:vAlign w:val="center"/>
          </w:tcPr>
          <w:p w14:paraId="35C6BE0E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36" w:type="dxa"/>
            <w:vAlign w:val="center"/>
          </w:tcPr>
          <w:p w14:paraId="58838675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91" w:type="dxa"/>
            <w:vAlign w:val="center"/>
          </w:tcPr>
          <w:p w14:paraId="5A99D4B2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27" w:type="dxa"/>
            <w:vAlign w:val="center"/>
          </w:tcPr>
          <w:p w14:paraId="3D845BF2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55" w:type="dxa"/>
            <w:vAlign w:val="center"/>
          </w:tcPr>
          <w:p w14:paraId="4521A660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</w:tr>
      <w:tr w14:paraId="186F3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vMerge w:val="continue"/>
            <w:shd w:val="clear" w:color="auto" w:fill="F5F6F7"/>
            <w:vAlign w:val="center"/>
          </w:tcPr>
          <w:p w14:paraId="78C50FF5">
            <w:pPr>
              <w:jc w:val="center"/>
              <w:rPr>
                <w:sz w:val="24"/>
              </w:rPr>
            </w:pPr>
          </w:p>
        </w:tc>
        <w:tc>
          <w:tcPr>
            <w:tcW w:w="1709" w:type="dxa"/>
            <w:vAlign w:val="center"/>
          </w:tcPr>
          <w:p w14:paraId="08CCBBF2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路径决策</w:t>
            </w:r>
          </w:p>
        </w:tc>
        <w:tc>
          <w:tcPr>
            <w:tcW w:w="755" w:type="dxa"/>
            <w:vAlign w:val="center"/>
          </w:tcPr>
          <w:p w14:paraId="4926ABC9">
            <w:pPr>
              <w:jc w:val="center"/>
              <w:rPr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27" w:type="dxa"/>
            <w:vAlign w:val="center"/>
          </w:tcPr>
          <w:p w14:paraId="74EF42CC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73" w:type="dxa"/>
            <w:vAlign w:val="center"/>
          </w:tcPr>
          <w:p w14:paraId="77929EC2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827" w:type="dxa"/>
            <w:vAlign w:val="center"/>
          </w:tcPr>
          <w:p w14:paraId="1CE41B05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36" w:type="dxa"/>
            <w:vAlign w:val="center"/>
          </w:tcPr>
          <w:p w14:paraId="33C9BCAC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91" w:type="dxa"/>
            <w:vAlign w:val="center"/>
          </w:tcPr>
          <w:p w14:paraId="1B60E5BD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27" w:type="dxa"/>
            <w:vAlign w:val="center"/>
          </w:tcPr>
          <w:p w14:paraId="05CE9715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55" w:type="dxa"/>
            <w:vAlign w:val="center"/>
          </w:tcPr>
          <w:p w14:paraId="37A14EBB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</w:tr>
      <w:tr w14:paraId="059AF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38" w:type="dxa"/>
            <w:vMerge w:val="restart"/>
            <w:shd w:val="clear" w:color="auto" w:fill="F5F6F7"/>
            <w:vAlign w:val="center"/>
          </w:tcPr>
          <w:p w14:paraId="7E3ADFEB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旅游生态区</w:t>
            </w:r>
          </w:p>
        </w:tc>
        <w:tc>
          <w:tcPr>
            <w:tcW w:w="1709" w:type="dxa"/>
            <w:vAlign w:val="center"/>
          </w:tcPr>
          <w:p w14:paraId="4F8C7F6B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行驶至特定生态目标拍摄区域</w:t>
            </w:r>
          </w:p>
        </w:tc>
        <w:tc>
          <w:tcPr>
            <w:tcW w:w="755" w:type="dxa"/>
            <w:vAlign w:val="center"/>
          </w:tcPr>
          <w:p w14:paraId="71778DC6">
            <w:pPr>
              <w:jc w:val="center"/>
              <w:rPr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27" w:type="dxa"/>
            <w:vAlign w:val="center"/>
          </w:tcPr>
          <w:p w14:paraId="0288F39C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73" w:type="dxa"/>
            <w:vAlign w:val="center"/>
          </w:tcPr>
          <w:p w14:paraId="3A355710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827" w:type="dxa"/>
            <w:vAlign w:val="center"/>
          </w:tcPr>
          <w:p w14:paraId="26E4DAAD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36" w:type="dxa"/>
            <w:vAlign w:val="center"/>
          </w:tcPr>
          <w:p w14:paraId="4E461338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91" w:type="dxa"/>
            <w:vAlign w:val="center"/>
          </w:tcPr>
          <w:p w14:paraId="024C6E9A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27" w:type="dxa"/>
            <w:vAlign w:val="center"/>
          </w:tcPr>
          <w:p w14:paraId="25CC79A3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55" w:type="dxa"/>
            <w:vAlign w:val="center"/>
          </w:tcPr>
          <w:p w14:paraId="3A8C4984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</w:tr>
      <w:tr w14:paraId="3BC97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38" w:type="dxa"/>
            <w:vMerge w:val="continue"/>
            <w:shd w:val="clear" w:color="auto" w:fill="F5F6F7"/>
            <w:vAlign w:val="center"/>
          </w:tcPr>
          <w:p w14:paraId="4BE11EE2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682AE4C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触发“拍照”功能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4407426F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752F03AC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1F2688A7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112D1022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16E73055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6C1736B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58DE8882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2818F80D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</w:tr>
      <w:tr w14:paraId="46E33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vMerge w:val="continue"/>
            <w:shd w:val="clear" w:color="auto" w:fill="F5F6F7"/>
            <w:vAlign w:val="center"/>
          </w:tcPr>
          <w:p w14:paraId="759F4435">
            <w:pPr>
              <w:jc w:val="center"/>
              <w:rPr>
                <w:sz w:val="24"/>
              </w:rPr>
            </w:pPr>
          </w:p>
        </w:tc>
        <w:tc>
          <w:tcPr>
            <w:tcW w:w="1709" w:type="dxa"/>
            <w:vAlign w:val="center"/>
          </w:tcPr>
          <w:p w14:paraId="5D35D30C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显示拍摄的目标照片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475C7EB2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5EE98CDA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04C0651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76CA4722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3D8A6C88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F76BF07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0AAB7ACC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46B10B78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</w:tr>
      <w:tr w14:paraId="7B1F3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vMerge w:val="restart"/>
            <w:shd w:val="clear" w:color="auto" w:fill="F5F6F7"/>
            <w:vAlign w:val="center"/>
          </w:tcPr>
          <w:p w14:paraId="1D28FF72">
            <w:pPr>
              <w:jc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color w:val="24263A"/>
                <w:sz w:val="24"/>
                <w:lang w:val="en-US" w:eastAsia="zh-CN"/>
              </w:rPr>
              <w:t>文化遗产廊道</w:t>
            </w:r>
          </w:p>
        </w:tc>
        <w:tc>
          <w:tcPr>
            <w:tcW w:w="1709" w:type="dxa"/>
            <w:vAlign w:val="center"/>
          </w:tcPr>
          <w:p w14:paraId="43A18FCC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识别路标并发出信号灯</w:t>
            </w:r>
          </w:p>
        </w:tc>
        <w:tc>
          <w:tcPr>
            <w:tcW w:w="755" w:type="dxa"/>
            <w:vAlign w:val="center"/>
          </w:tcPr>
          <w:p w14:paraId="367C07D0">
            <w:pPr>
              <w:jc w:val="center"/>
              <w:rPr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27" w:type="dxa"/>
            <w:vAlign w:val="center"/>
          </w:tcPr>
          <w:p w14:paraId="616B3E76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73" w:type="dxa"/>
            <w:vAlign w:val="center"/>
          </w:tcPr>
          <w:p w14:paraId="317A25E8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827" w:type="dxa"/>
            <w:vAlign w:val="center"/>
          </w:tcPr>
          <w:p w14:paraId="3689B274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36" w:type="dxa"/>
            <w:vAlign w:val="center"/>
          </w:tcPr>
          <w:p w14:paraId="3EAC875C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91" w:type="dxa"/>
            <w:vAlign w:val="center"/>
          </w:tcPr>
          <w:p w14:paraId="2514E278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27" w:type="dxa"/>
            <w:vAlign w:val="center"/>
          </w:tcPr>
          <w:p w14:paraId="11342D97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55" w:type="dxa"/>
            <w:vAlign w:val="center"/>
          </w:tcPr>
          <w:p w14:paraId="511AC280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</w:tr>
      <w:tr w14:paraId="08602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vMerge w:val="continue"/>
            <w:shd w:val="clear" w:color="auto" w:fill="F5F6F7"/>
            <w:vAlign w:val="center"/>
          </w:tcPr>
          <w:p w14:paraId="1EFC1858">
            <w:pPr>
              <w:jc w:val="center"/>
              <w:rPr>
                <w:rFonts w:hint="eastAsia" w:ascii="仿宋" w:hAnsi="仿宋" w:eastAsia="仿宋" w:cs="仿宋"/>
                <w:color w:val="24263A"/>
                <w:sz w:val="24"/>
                <w:lang w:val="en-US" w:eastAsia="zh-CN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94BB09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根据识别结果调整行驶路径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3BDD5CE8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09B9EB1F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35156FED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1D419304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595EA511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6E95A0E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566EC3D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22A51564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</w:tr>
      <w:tr w14:paraId="63A7D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vMerge w:val="continue"/>
            <w:shd w:val="clear" w:color="auto" w:fill="F5F6F7"/>
            <w:vAlign w:val="center"/>
          </w:tcPr>
          <w:p w14:paraId="09D467A6">
            <w:pPr>
              <w:jc w:val="center"/>
              <w:rPr>
                <w:sz w:val="24"/>
              </w:rPr>
            </w:pPr>
          </w:p>
        </w:tc>
        <w:tc>
          <w:tcPr>
            <w:tcW w:w="1709" w:type="dxa"/>
            <w:vAlign w:val="center"/>
          </w:tcPr>
          <w:p w14:paraId="3EACC256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到达廊道并文字播报</w:t>
            </w:r>
          </w:p>
        </w:tc>
        <w:tc>
          <w:tcPr>
            <w:tcW w:w="755" w:type="dxa"/>
            <w:vAlign w:val="center"/>
          </w:tcPr>
          <w:p w14:paraId="70EB572A">
            <w:pPr>
              <w:jc w:val="center"/>
              <w:rPr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27" w:type="dxa"/>
            <w:vAlign w:val="center"/>
          </w:tcPr>
          <w:p w14:paraId="7C89969E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73" w:type="dxa"/>
            <w:vAlign w:val="center"/>
          </w:tcPr>
          <w:p w14:paraId="159FE097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827" w:type="dxa"/>
            <w:vAlign w:val="center"/>
          </w:tcPr>
          <w:p w14:paraId="084028EB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36" w:type="dxa"/>
            <w:vAlign w:val="center"/>
          </w:tcPr>
          <w:p w14:paraId="12DC1173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91" w:type="dxa"/>
            <w:vAlign w:val="center"/>
          </w:tcPr>
          <w:p w14:paraId="682706F8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27" w:type="dxa"/>
            <w:vAlign w:val="center"/>
          </w:tcPr>
          <w:p w14:paraId="62EF5F80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55" w:type="dxa"/>
            <w:vAlign w:val="center"/>
          </w:tcPr>
          <w:p w14:paraId="53AB8C8B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</w:tr>
      <w:tr w14:paraId="69F46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vMerge w:val="restart"/>
            <w:shd w:val="clear" w:color="auto" w:fill="F5F6F7"/>
            <w:vAlign w:val="center"/>
          </w:tcPr>
          <w:p w14:paraId="7F159C37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4263A"/>
                <w:sz w:val="24"/>
                <w:lang w:val="en-US" w:eastAsia="zh-CN"/>
              </w:rPr>
              <w:t>科研监测站</w:t>
            </w:r>
          </w:p>
        </w:tc>
        <w:tc>
          <w:tcPr>
            <w:tcW w:w="1709" w:type="dxa"/>
            <w:vAlign w:val="center"/>
          </w:tcPr>
          <w:p w14:paraId="6885B0DA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识别指定标识并显示文字</w:t>
            </w:r>
          </w:p>
        </w:tc>
        <w:tc>
          <w:tcPr>
            <w:tcW w:w="755" w:type="dxa"/>
            <w:vAlign w:val="center"/>
          </w:tcPr>
          <w:p w14:paraId="2E4BF808">
            <w:pPr>
              <w:jc w:val="center"/>
              <w:rPr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27" w:type="dxa"/>
            <w:vAlign w:val="center"/>
          </w:tcPr>
          <w:p w14:paraId="5C2BCAC3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73" w:type="dxa"/>
            <w:vAlign w:val="center"/>
          </w:tcPr>
          <w:p w14:paraId="1727F900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827" w:type="dxa"/>
            <w:vAlign w:val="center"/>
          </w:tcPr>
          <w:p w14:paraId="2CE13DFD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36" w:type="dxa"/>
            <w:vAlign w:val="center"/>
          </w:tcPr>
          <w:p w14:paraId="6982F23D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91" w:type="dxa"/>
            <w:vAlign w:val="center"/>
          </w:tcPr>
          <w:p w14:paraId="054A2414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27" w:type="dxa"/>
            <w:vAlign w:val="center"/>
          </w:tcPr>
          <w:p w14:paraId="01110316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55" w:type="dxa"/>
            <w:vAlign w:val="center"/>
          </w:tcPr>
          <w:p w14:paraId="2993A598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</w:tr>
      <w:tr w14:paraId="0557E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vMerge w:val="continue"/>
            <w:shd w:val="clear" w:color="auto" w:fill="F5F6F7"/>
            <w:vAlign w:val="center"/>
          </w:tcPr>
          <w:p w14:paraId="57E11CD0">
            <w:pPr>
              <w:jc w:val="center"/>
              <w:rPr>
                <w:sz w:val="24"/>
              </w:rPr>
            </w:pPr>
          </w:p>
        </w:tc>
        <w:tc>
          <w:tcPr>
            <w:tcW w:w="1709" w:type="dxa"/>
            <w:vAlign w:val="center"/>
          </w:tcPr>
          <w:p w14:paraId="4E130EA9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驶入指定停车区停车</w:t>
            </w:r>
          </w:p>
        </w:tc>
        <w:tc>
          <w:tcPr>
            <w:tcW w:w="755" w:type="dxa"/>
            <w:vAlign w:val="center"/>
          </w:tcPr>
          <w:p w14:paraId="6A6FAE0E">
            <w:pPr>
              <w:jc w:val="center"/>
              <w:rPr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27" w:type="dxa"/>
            <w:vAlign w:val="center"/>
          </w:tcPr>
          <w:p w14:paraId="3D35F8E0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73" w:type="dxa"/>
            <w:vAlign w:val="center"/>
          </w:tcPr>
          <w:p w14:paraId="447C8C3B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827" w:type="dxa"/>
            <w:vAlign w:val="center"/>
          </w:tcPr>
          <w:p w14:paraId="61DA8700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36" w:type="dxa"/>
            <w:vAlign w:val="center"/>
          </w:tcPr>
          <w:p w14:paraId="56B08D35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91" w:type="dxa"/>
            <w:vAlign w:val="center"/>
          </w:tcPr>
          <w:p w14:paraId="47B4FE4F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27" w:type="dxa"/>
            <w:vAlign w:val="center"/>
          </w:tcPr>
          <w:p w14:paraId="45F15BE3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  <w:tc>
          <w:tcPr>
            <w:tcW w:w="755" w:type="dxa"/>
            <w:vAlign w:val="center"/>
          </w:tcPr>
          <w:p w14:paraId="0C8EF216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√</w:t>
            </w:r>
          </w:p>
        </w:tc>
      </w:tr>
      <w:tr w14:paraId="59456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38" w:type="dxa"/>
            <w:shd w:val="clear" w:color="auto" w:fill="F5F6F7"/>
            <w:vAlign w:val="center"/>
          </w:tcPr>
          <w:p w14:paraId="45046BFA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4263A"/>
                <w:sz w:val="24"/>
                <w:lang w:val="en-US" w:eastAsia="zh-CN"/>
              </w:rPr>
              <w:t>说明</w:t>
            </w:r>
          </w:p>
        </w:tc>
        <w:tc>
          <w:tcPr>
            <w:tcW w:w="7800" w:type="dxa"/>
            <w:gridSpan w:val="9"/>
            <w:vAlign w:val="center"/>
          </w:tcPr>
          <w:p w14:paraId="6453C7CB">
            <w:pPr>
              <w:jc w:val="left"/>
              <w:rPr>
                <w:rFonts w:hint="default" w:ascii="Arial" w:hAnsi="Arial" w:eastAsia="宋体" w:cs="Arial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各组别复赛阶段、决赛阶段的任务数量及赛道场景不同，最终评分标准以赛事系统公布为准</w:t>
            </w:r>
          </w:p>
        </w:tc>
      </w:tr>
    </w:tbl>
    <w:p w14:paraId="7F0A658B">
      <w:r>
        <w:rPr>
          <w:rFonts w:ascii="仿宋" w:hAnsi="仿宋" w:eastAsia="仿宋" w:cs="仿宋"/>
        </w:rPr>
        <w:t xml:space="preserve">    </w:t>
      </w:r>
    </w:p>
    <w:p w14:paraId="4827F299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8" w:lineRule="exact"/>
        <w:ind w:left="-6" w:leftChars="0" w:firstLine="640" w:firstLineChars="200"/>
        <w:jc w:val="both"/>
        <w:textAlignment w:val="baseline"/>
        <w:rPr>
          <w:rFonts w:hint="default"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en-US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en-US"/>
        </w:rPr>
        <w:t>）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赛队伍在参赛过程中需自备笔记本电脑、网络/热点等设备，并保证比赛时笔记本电脑电量充足，win7及以上系统的电脑，键盘、鼠标、网络连接正常。软件环境要求：国产自研开源3D虚拟仿真平台。电脑推荐配置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如下：</w:t>
      </w:r>
    </w:p>
    <w:p w14:paraId="160D2B03">
      <w:pPr>
        <w:numPr>
          <w:ilvl w:val="0"/>
          <w:numId w:val="0"/>
        </w:numPr>
        <w:spacing w:line="288" w:lineRule="auto"/>
        <w:ind w:leftChars="200"/>
        <w:rPr>
          <w:rFonts w:hint="default"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4"/>
        <w:gridCol w:w="1540"/>
        <w:gridCol w:w="5106"/>
      </w:tblGrid>
      <w:tr w14:paraId="1BD24B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4" w:type="dxa"/>
            <w:shd w:val="clear" w:color="auto" w:fill="D7D7D7" w:themeFill="background1" w:themeFillShade="D8"/>
            <w:vAlign w:val="center"/>
          </w:tcPr>
          <w:p w14:paraId="7BFD3CD8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分类</w:t>
            </w:r>
          </w:p>
        </w:tc>
        <w:tc>
          <w:tcPr>
            <w:tcW w:w="1540" w:type="dxa"/>
            <w:shd w:val="clear" w:color="auto" w:fill="D7D7D7" w:themeFill="background1" w:themeFillShade="D8"/>
            <w:vAlign w:val="center"/>
          </w:tcPr>
          <w:p w14:paraId="717F84CA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部件</w:t>
            </w:r>
          </w:p>
        </w:tc>
        <w:tc>
          <w:tcPr>
            <w:tcW w:w="5106" w:type="dxa"/>
            <w:shd w:val="clear" w:color="auto" w:fill="D7D7D7" w:themeFill="background1" w:themeFillShade="D8"/>
            <w:vAlign w:val="center"/>
          </w:tcPr>
          <w:p w14:paraId="58BDF8CA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要求</w:t>
            </w:r>
          </w:p>
        </w:tc>
      </w:tr>
      <w:tr w14:paraId="495017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684" w:type="dxa"/>
            <w:vMerge w:val="restart"/>
            <w:vAlign w:val="center"/>
          </w:tcPr>
          <w:p w14:paraId="345298CD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硬件要求</w:t>
            </w:r>
          </w:p>
          <w:p w14:paraId="6290754D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40" w:type="dxa"/>
          </w:tcPr>
          <w:p w14:paraId="4E10F6EE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CPU</w:t>
            </w:r>
          </w:p>
        </w:tc>
        <w:tc>
          <w:tcPr>
            <w:tcW w:w="5106" w:type="dxa"/>
          </w:tcPr>
          <w:p w14:paraId="4F669CEF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2.4 Ghz 或以上兼容 64 位处理器</w:t>
            </w:r>
          </w:p>
        </w:tc>
      </w:tr>
      <w:tr w14:paraId="6E6BE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4" w:type="dxa"/>
            <w:vMerge w:val="continue"/>
          </w:tcPr>
          <w:p w14:paraId="68A72635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40" w:type="dxa"/>
          </w:tcPr>
          <w:p w14:paraId="431C4C9A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内存</w:t>
            </w:r>
          </w:p>
        </w:tc>
        <w:tc>
          <w:tcPr>
            <w:tcW w:w="5106" w:type="dxa"/>
          </w:tcPr>
          <w:p w14:paraId="1BEC003D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4GB 或以上</w:t>
            </w:r>
          </w:p>
        </w:tc>
      </w:tr>
      <w:tr w14:paraId="674E7A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4" w:type="dxa"/>
            <w:vMerge w:val="continue"/>
          </w:tcPr>
          <w:p w14:paraId="09102BDA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40" w:type="dxa"/>
          </w:tcPr>
          <w:p w14:paraId="497375AD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硬盘</w:t>
            </w:r>
          </w:p>
        </w:tc>
        <w:tc>
          <w:tcPr>
            <w:tcW w:w="5106" w:type="dxa"/>
          </w:tcPr>
          <w:p w14:paraId="6FB254F2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剩余空间 50GB 或以上</w:t>
            </w:r>
          </w:p>
        </w:tc>
      </w:tr>
      <w:tr w14:paraId="5D64B9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4" w:type="dxa"/>
            <w:vMerge w:val="continue"/>
          </w:tcPr>
          <w:p w14:paraId="57BE38EC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40" w:type="dxa"/>
          </w:tcPr>
          <w:p w14:paraId="4B69B06D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显卡</w:t>
            </w:r>
          </w:p>
        </w:tc>
        <w:tc>
          <w:tcPr>
            <w:tcW w:w="5106" w:type="dxa"/>
          </w:tcPr>
          <w:p w14:paraId="7F5A70E2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带 3D 加速功能，Nvidia GT710 同档或以上</w:t>
            </w:r>
          </w:p>
        </w:tc>
      </w:tr>
      <w:tr w14:paraId="67C870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4" w:type="dxa"/>
            <w:vMerge w:val="continue"/>
          </w:tcPr>
          <w:p w14:paraId="664FAAA5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40" w:type="dxa"/>
          </w:tcPr>
          <w:p w14:paraId="17E042A4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显示器</w:t>
            </w:r>
          </w:p>
        </w:tc>
        <w:tc>
          <w:tcPr>
            <w:tcW w:w="5106" w:type="dxa"/>
          </w:tcPr>
          <w:p w14:paraId="4F6030B3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1280 X720 或以上分辨率</w:t>
            </w:r>
          </w:p>
        </w:tc>
      </w:tr>
      <w:tr w14:paraId="78C8EB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4" w:type="dxa"/>
            <w:vMerge w:val="continue"/>
          </w:tcPr>
          <w:p w14:paraId="13BBB347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40" w:type="dxa"/>
          </w:tcPr>
          <w:p w14:paraId="27C6EC42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声卡</w:t>
            </w:r>
          </w:p>
        </w:tc>
        <w:tc>
          <w:tcPr>
            <w:tcW w:w="5106" w:type="dxa"/>
          </w:tcPr>
          <w:p w14:paraId="703C04BC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AC97 或以上</w:t>
            </w:r>
          </w:p>
        </w:tc>
      </w:tr>
      <w:tr w14:paraId="3F67F7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4" w:type="dxa"/>
            <w:vMerge w:val="continue"/>
          </w:tcPr>
          <w:p w14:paraId="56675283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40" w:type="dxa"/>
          </w:tcPr>
          <w:p w14:paraId="61011C88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声音输出</w:t>
            </w:r>
          </w:p>
        </w:tc>
        <w:tc>
          <w:tcPr>
            <w:tcW w:w="5106" w:type="dxa"/>
          </w:tcPr>
          <w:p w14:paraId="54EA65A5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音箱或耳机</w:t>
            </w:r>
          </w:p>
        </w:tc>
      </w:tr>
      <w:tr w14:paraId="6F0B13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4" w:type="dxa"/>
            <w:vMerge w:val="continue"/>
          </w:tcPr>
          <w:p w14:paraId="2FA72E30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40" w:type="dxa"/>
          </w:tcPr>
          <w:p w14:paraId="33629D67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键盘</w:t>
            </w:r>
          </w:p>
        </w:tc>
        <w:tc>
          <w:tcPr>
            <w:tcW w:w="5106" w:type="dxa"/>
          </w:tcPr>
          <w:p w14:paraId="4A2CF29A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windows 兼容键盘均可</w:t>
            </w:r>
          </w:p>
        </w:tc>
      </w:tr>
      <w:tr w14:paraId="5CC953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4" w:type="dxa"/>
            <w:vMerge w:val="continue"/>
          </w:tcPr>
          <w:p w14:paraId="415539BC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40" w:type="dxa"/>
          </w:tcPr>
          <w:p w14:paraId="41CAFF0A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鼠标</w:t>
            </w:r>
          </w:p>
        </w:tc>
        <w:tc>
          <w:tcPr>
            <w:tcW w:w="5106" w:type="dxa"/>
          </w:tcPr>
          <w:p w14:paraId="3EC5AD5E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2键 windows 兼容鼠标</w:t>
            </w:r>
          </w:p>
        </w:tc>
      </w:tr>
      <w:tr w14:paraId="37B802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4" w:type="dxa"/>
          </w:tcPr>
          <w:p w14:paraId="00B93250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软件要求</w:t>
            </w:r>
          </w:p>
        </w:tc>
        <w:tc>
          <w:tcPr>
            <w:tcW w:w="1540" w:type="dxa"/>
          </w:tcPr>
          <w:p w14:paraId="144B910E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操作系统</w:t>
            </w:r>
          </w:p>
        </w:tc>
        <w:tc>
          <w:tcPr>
            <w:tcW w:w="5106" w:type="dxa"/>
          </w:tcPr>
          <w:p w14:paraId="05927E92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win7 64 位或以上</w:t>
            </w:r>
          </w:p>
        </w:tc>
      </w:tr>
      <w:tr w14:paraId="5CA015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4" w:type="dxa"/>
          </w:tcPr>
          <w:p w14:paraId="761101DA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网络要求</w:t>
            </w:r>
          </w:p>
        </w:tc>
        <w:tc>
          <w:tcPr>
            <w:tcW w:w="1540" w:type="dxa"/>
          </w:tcPr>
          <w:p w14:paraId="5C285907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网络带宽</w:t>
            </w:r>
          </w:p>
        </w:tc>
        <w:tc>
          <w:tcPr>
            <w:tcW w:w="5106" w:type="dxa"/>
          </w:tcPr>
          <w:p w14:paraId="6B85E1B1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5 Mbps/台</w:t>
            </w:r>
          </w:p>
        </w:tc>
      </w:tr>
    </w:tbl>
    <w:p w14:paraId="1629C9AC">
      <w:pPr>
        <w:spacing w:line="288" w:lineRule="auto"/>
        <w:ind w:left="-6" w:firstLine="480" w:firstLineChars="200"/>
        <w:rPr>
          <w:rFonts w:hint="default"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B71D22A">
      <w:pPr>
        <w:ind w:firstLine="48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）评分标准</w:t>
      </w:r>
    </w:p>
    <w:tbl>
      <w:tblPr>
        <w:tblStyle w:val="6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1"/>
        <w:gridCol w:w="5911"/>
      </w:tblGrid>
      <w:tr w14:paraId="00B021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852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5F26FE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评分标准</w:t>
            </w:r>
          </w:p>
        </w:tc>
      </w:tr>
      <w:tr w14:paraId="1BDA0A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1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7FEEF4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评审指标</w:t>
            </w:r>
          </w:p>
        </w:tc>
        <w:tc>
          <w:tcPr>
            <w:tcW w:w="5911" w:type="dxa"/>
            <w:tcBorders>
              <w:bottom w:val="single" w:color="000000" w:sz="6" w:space="0"/>
              <w:right w:val="single" w:color="000000" w:sz="6" w:space="0"/>
            </w:tcBorders>
          </w:tcPr>
          <w:p w14:paraId="2C572FF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指标描述</w:t>
            </w:r>
          </w:p>
        </w:tc>
      </w:tr>
      <w:tr w14:paraId="40FB54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1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CF529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任务完成</w:t>
            </w:r>
          </w:p>
        </w:tc>
        <w:tc>
          <w:tcPr>
            <w:tcW w:w="5911" w:type="dxa"/>
            <w:tcBorders>
              <w:bottom w:val="single" w:color="000000" w:sz="6" w:space="0"/>
              <w:right w:val="single" w:color="000000" w:sz="6" w:space="0"/>
            </w:tcBorders>
          </w:tcPr>
          <w:p w14:paraId="7209ECE0">
            <w:pPr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  <w:t>本次竞赛为系统自动记分，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每个</w:t>
            </w:r>
            <w:r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  <w:t>任务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将包含多个小任务，具体任务要求和任务分值</w:t>
            </w:r>
            <w:r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  <w:t>以最终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公布</w:t>
            </w:r>
            <w:r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  <w:t>为准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，完成对应任务即可获得对应分值。</w:t>
            </w:r>
          </w:p>
        </w:tc>
      </w:tr>
      <w:tr w14:paraId="5193F1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1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1B7A8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完成时间</w:t>
            </w:r>
          </w:p>
        </w:tc>
        <w:tc>
          <w:tcPr>
            <w:tcW w:w="5911" w:type="dxa"/>
            <w:tcBorders>
              <w:bottom w:val="single" w:color="000000" w:sz="6" w:space="0"/>
              <w:right w:val="single" w:color="000000" w:sz="6" w:space="0"/>
            </w:tcBorders>
          </w:tcPr>
          <w:p w14:paraId="1F492064">
            <w:pPr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任务分值相同时，以完成任务时间长短排序，用时越短排名越前</w:t>
            </w:r>
          </w:p>
        </w:tc>
      </w:tr>
    </w:tbl>
    <w:p w14:paraId="4207C717">
      <w:pPr>
        <w:rPr>
          <w:rFonts w:hint="eastAsia" w:ascii="仿宋" w:hAnsi="仿宋" w:eastAsia="仿宋" w:cs="宋体"/>
          <w:b/>
          <w:bCs/>
          <w:color w:val="000000"/>
          <w:kern w:val="0"/>
          <w:sz w:val="24"/>
        </w:rPr>
      </w:pPr>
      <w:r>
        <w:t xml:space="preserve"> </w:t>
      </w:r>
    </w:p>
    <w:p w14:paraId="5CD4DAE2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pacing w:line="578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</w:rPr>
        <w:t>、取消评奖资格情况</w:t>
      </w:r>
    </w:p>
    <w:p w14:paraId="53B0D750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pacing w:line="578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（一）参赛选手迟到20分钟以上。</w:t>
      </w:r>
    </w:p>
    <w:p w14:paraId="662530FA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pacing w:line="578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（二）参赛选手蓄意损坏比赛场地。</w:t>
      </w:r>
    </w:p>
    <w:p w14:paraId="471D9833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pacing w:line="578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（三）参赛选手不听从裁判（评委）的指示。</w:t>
      </w:r>
    </w:p>
    <w:p w14:paraId="4FE9F01C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pacing w:line="578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（四）参赛选手被投诉且成立。</w:t>
      </w:r>
    </w:p>
    <w:p w14:paraId="1B9D03B9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pacing w:line="578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（五）参赛选手参加多个赛项、多支队伍比赛。</w:t>
      </w:r>
    </w:p>
    <w:p w14:paraId="32DEEEC3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pacing w:line="578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/>
        </w:rPr>
        <w:t>六、注意事项</w:t>
      </w:r>
    </w:p>
    <w:p w14:paraId="7C21ACFC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pacing w:line="578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1.参赛选手需在报名截止时间前完成线上报名，完成报名选手具有参赛资格。</w:t>
      </w:r>
    </w:p>
    <w:p w14:paraId="2633223F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pacing w:line="578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2.设备需要满足参赛软件要求，选手需提前做好设备调试，确保软件能正常运行。</w:t>
      </w:r>
    </w:p>
    <w:p w14:paraId="1555918F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pacing w:line="578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3.参赛选手务必牢记参赛账号密码，避免耽误比赛时间。</w:t>
      </w:r>
    </w:p>
    <w:p w14:paraId="386EBFF8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pacing w:line="578" w:lineRule="exact"/>
        <w:ind w:firstLine="640" w:firstLineChars="200"/>
        <w:jc w:val="both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七、其他</w:t>
      </w:r>
    </w:p>
    <w:p w14:paraId="3E5A9D7B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pacing w:line="578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1.比赛期间，凡是规则中没有说明的事项由专家评审委员会现场决定。</w:t>
      </w:r>
    </w:p>
    <w:p w14:paraId="682E4696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pacing w:line="578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2.主办单位对规则中未说明及有争议的事项拥有最终解释权、补充权和决定权。</w:t>
      </w:r>
    </w:p>
    <w:p w14:paraId="43623C02">
      <w:pPr>
        <w:rPr>
          <w:rFonts w:hint="default" w:ascii="Times New Roman" w:hAnsi="Times New Roman" w:cs="Times New Roman"/>
        </w:rPr>
      </w:pPr>
    </w:p>
    <w:sectPr>
      <w:pgSz w:w="11906" w:h="16838"/>
      <w:pgMar w:top="2098" w:right="1361" w:bottom="1984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24466056-6DED-4C9C-9653-9D5AAAFBE75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4894B4C-6B87-4579-92B0-9BA8E6C97D1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F6D56617-0732-4EDE-BC4E-09E4225B5CC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82E729DF-8A72-4E0D-B1E4-C0CF715BD5D3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1A7942C8-251E-4F85-B761-B1A8DE6B0DF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6A059C31-A51D-439D-82E0-0EB0B5A9E75E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16CF29"/>
    <w:multiLevelType w:val="singleLevel"/>
    <w:tmpl w:val="3316CF29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321367"/>
    <w:rsid w:val="02C10DFF"/>
    <w:rsid w:val="0C1C796E"/>
    <w:rsid w:val="0C647D62"/>
    <w:rsid w:val="0F321367"/>
    <w:rsid w:val="2E6D421C"/>
    <w:rsid w:val="305A48A1"/>
    <w:rsid w:val="308A4F2F"/>
    <w:rsid w:val="30E11C1B"/>
    <w:rsid w:val="31B36DFE"/>
    <w:rsid w:val="4B3117D4"/>
    <w:rsid w:val="6F1A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">
    <w:name w:val="_Style 4"/>
    <w:basedOn w:val="1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tcPr>
        <w:shd w:val="clear" w:color="auto" w:fill="F5F6F7"/>
      </w:tcPr>
    </w:tblStylePr>
    <w:tblStylePr w:type="firstCol">
      <w:tcPr>
        <w:shd w:val="clear" w:color="auto" w:fill="F5F6F7"/>
      </w:tcPr>
    </w:tblStylePr>
  </w:style>
  <w:style w:type="table" w:customStyle="1" w:styleId="11">
    <w:name w:val="_Style 3"/>
    <w:qFormat/>
    <w:uiPriority w:val="0"/>
    <w:tblPr>
      <w:tblBorders>
        <w:top w:val="single" w:color="D6D6D6" w:sz="6" w:space="0"/>
        <w:left w:val="single" w:color="D6D6D6" w:sz="6" w:space="0"/>
        <w:bottom w:val="single" w:color="D6D6D6" w:sz="6" w:space="0"/>
        <w:right w:val="single" w:color="D6D6D6" w:sz="6" w:space="0"/>
        <w:insideH w:val="single" w:color="D6D6D6" w:sz="6" w:space="0"/>
        <w:insideV w:val="single" w:color="D6D6D6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hint="eastAsia" w:ascii="方正小标宋_GBK" w:hAnsi="方正小标宋_GBK" w:eastAsia="方正小标宋_GBK" w:cs="Times New Roman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1857</Words>
  <Characters>1882</Characters>
  <Lines>0</Lines>
  <Paragraphs>0</Paragraphs>
  <TotalTime>0</TotalTime>
  <ScaleCrop>false</ScaleCrop>
  <LinksUpToDate>false</LinksUpToDate>
  <CharactersWithSpaces>1891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2026-03-20T05:38:00Z</dcterms:created>
  <dc:creator>LEGO 柯老师</dc:creator>
  <cp:lastModifiedBy>乔一</cp:lastModifiedBy>
  <dcterms:modified xsi:type="dcterms:W3CDTF">2026-05-14T09:31:57Z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BF3F8E2966504B4989938F82AF71247F_13</vt:lpwstr>
  </property>
  <property fmtid="{D5CDD505-2E9C-101B-9397-08002B2CF9AE}" pid="4" name="KSOTemplateDocerSaveRecord">
    <vt:lpwstr>eyJoZGlkIjoiOWUyMWQ4ZjM4YjdkNjQ1MTQzNzBiYTJhZGY3OGEwMTciLCJ1c2VySWQiOiI2MDc3NDA0MTUifQ==</vt:lpwstr>
  </property>
</Properties>
</file>